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spacing w:before="100" w:beforeAutospacing="1" w:after="100" w:afterAutospacing="1" w:line="2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重庆市高层次人才申办“英才卡”信息表</w:t>
      </w:r>
    </w:p>
    <w:bookmarkEnd w:id="0"/>
    <w:p>
      <w:pPr>
        <w:spacing w:line="400" w:lineRule="exact"/>
        <w:rPr>
          <w:rFonts w:hint="default" w:ascii="Times New Roman" w:hAnsi="Times New Roman" w:eastAsia="方正仿宋_GBK" w:cs="Times New Roman"/>
          <w:b/>
          <w:bCs/>
          <w:sz w:val="24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1"/>
        </w:rPr>
        <w:t>单位名称：</w:t>
      </w:r>
    </w:p>
    <w:tbl>
      <w:tblPr>
        <w:tblStyle w:val="3"/>
        <w:tblW w:w="144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113"/>
        <w:gridCol w:w="1134"/>
        <w:gridCol w:w="1276"/>
        <w:gridCol w:w="1417"/>
        <w:gridCol w:w="2126"/>
        <w:gridCol w:w="1560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02" w:type="dxa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人才姓名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是否办理“英才卡”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开卡区域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开卡网点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（人才贷）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是否上门服务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是否办理消费类“人才贷服务”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是否办理经营类“人才贷服务”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是否办理白金信用卡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0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0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3" w:hanging="840" w:hangingChars="35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备注：1.开通“英才卡”即可享受人才增值服务：金融类增值服务1-8和非金融类增值服务1-4（增值服务根据发卡行规划进行每年更新，以发卡行最新公布为准）；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3" w:hanging="840" w:hangingChars="35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 xml:space="preserve">      2.办理消费类“人才贷”服务可享受“人才贷”1项贷款服务；办理经营类“人才贷”服务可享受“人才贷”2-6项贷款服务（凡是以个人名义申请的贷款服务对象不包括外籍人士，另贷款服务应以贷款行相关产品细则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 xml:space="preserve">      3. “英才卡”持卡人可向重庆银行申请办理白金信用卡，享受白金信用卡相关服务；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4. “人才贷”贷款期限最长一年，且不得超过人才证到期日，银行建议人才证到期前及时办理延期；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5.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20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相关增值服务仅限持有“重庆市人才服务证”的人才享有，若持卡人才注销人才服务证或失去人才资格，将不再享有相关增值服务；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6.申办信息表由用人单位联络员填写并通过电子邮件发送至：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20"/>
        </w:rPr>
        <w:fldChar w:fldCharType="begin"/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20"/>
        </w:rPr>
        <w:instrText xml:space="preserve"> HYPERLINK "mailto:cqrcgfb@163.com，联系电话：023-88212062" </w:instrTex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20"/>
        </w:rPr>
        <w:fldChar w:fldCharType="separate"/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cqrcgfb@163.com，联系电话：023-88212062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fldChar w:fldCharType="end"/>
      </w:r>
      <w:r>
        <w:rPr>
          <w:rFonts w:hint="default" w:ascii="方正楷体_GBK" w:hAnsi="方正楷体_GBK" w:eastAsia="方正楷体_GBK" w:cs="方正楷体_GBK"/>
          <w:b w:val="0"/>
          <w:bCs w:val="0"/>
          <w:sz w:val="24"/>
          <w:szCs w:val="24"/>
        </w:rPr>
        <w:t>、88723762。</w:t>
      </w:r>
    </w:p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67A4F"/>
    <w:rsid w:val="110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2019-10-15T06:21:00Z</dcterms:created>
  <dc:creator>zhengyueling</dc:creator>
  <cp:lastModifiedBy>zhengyueling</cp:lastModifiedBy>
  <dcterms:modified xsi:type="dcterms:W3CDTF">2019-10-15T06:22:47Z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