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left"/>
        <w:rPr>
          <w:rFonts w:hint="eastAsia" w:ascii="方正黑体_GBK" w:hAnsi="方正小标宋_GBK" w:eastAsia="方正黑体_GBK" w:cs="方正小标宋_GBK"/>
          <w:sz w:val="40"/>
          <w:szCs w:val="40"/>
          <w:lang w:eastAsia="zh-CN"/>
        </w:rPr>
      </w:pPr>
      <w:r>
        <w:rPr>
          <w:rFonts w:hint="eastAsia" w:ascii="方正黑体_GBK" w:hAnsi="方正小标宋_GBK" w:eastAsia="方正黑体_GBK" w:cs="方正小标宋_GBK"/>
          <w:sz w:val="40"/>
          <w:szCs w:val="40"/>
          <w:lang w:eastAsia="zh-CN"/>
        </w:rPr>
        <w:t>附件</w:t>
      </w:r>
    </w:p>
    <w:p>
      <w:pPr>
        <w:widowControl/>
        <w:spacing w:line="640" w:lineRule="exact"/>
        <w:jc w:val="left"/>
        <w:rPr>
          <w:rFonts w:hint="eastAsia" w:ascii="方正黑体_GBK" w:hAnsi="方正小标宋_GBK" w:eastAsia="方正黑体_GBK" w:cs="方正小标宋_GBK"/>
          <w:sz w:val="40"/>
          <w:szCs w:val="40"/>
          <w:lang w:eastAsia="zh-CN"/>
        </w:rPr>
      </w:pPr>
    </w:p>
    <w:p>
      <w:pPr>
        <w:widowControl/>
        <w:spacing w:line="600" w:lineRule="exact"/>
        <w:jc w:val="center"/>
        <w:rPr>
          <w:rFonts w:ascii="方正小标宋_GBK" w:hAnsi="宋体" w:eastAsia="方正小标宋_GBK" w:cs="宋体"/>
          <w:b/>
          <w:color w:val="000000"/>
          <w:kern w:val="0"/>
          <w:sz w:val="40"/>
          <w:szCs w:val="40"/>
        </w:rPr>
      </w:pPr>
      <w:r>
        <w:rPr>
          <w:rFonts w:hint="eastAsia" w:ascii="方正小标宋_GBK" w:hAnsi="宋体" w:eastAsia="方正小标宋_GBK" w:cs="宋体"/>
          <w:b/>
          <w:color w:val="000000"/>
          <w:kern w:val="0"/>
          <w:sz w:val="40"/>
          <w:szCs w:val="40"/>
        </w:rPr>
        <w:t>2020年度人才工作</w:t>
      </w:r>
    </w:p>
    <w:p>
      <w:pPr>
        <w:widowControl/>
        <w:spacing w:line="600" w:lineRule="exact"/>
        <w:jc w:val="center"/>
        <w:rPr>
          <w:rFonts w:ascii="方正小标宋_GBK" w:hAnsi="宋体" w:eastAsia="方正小标宋_GBK" w:cs="宋体"/>
          <w:b/>
          <w:color w:val="000000"/>
          <w:kern w:val="0"/>
          <w:sz w:val="40"/>
          <w:szCs w:val="40"/>
        </w:rPr>
      </w:pPr>
      <w:r>
        <w:rPr>
          <w:rFonts w:hint="eastAsia" w:ascii="方正小标宋_GBK" w:hAnsi="宋体" w:eastAsia="方正小标宋_GBK" w:cs="宋体"/>
          <w:b/>
          <w:color w:val="000000"/>
          <w:kern w:val="0"/>
          <w:sz w:val="40"/>
          <w:szCs w:val="40"/>
        </w:rPr>
        <w:t>主题征文、新闻摄影、短视频比赛</w:t>
      </w:r>
    </w:p>
    <w:p>
      <w:pPr>
        <w:widowControl/>
        <w:spacing w:line="600" w:lineRule="exact"/>
        <w:jc w:val="center"/>
        <w:rPr>
          <w:rFonts w:hint="eastAsia" w:ascii="方正黑体_GBK" w:hAnsi="方正小标宋_GBK" w:eastAsia="方正黑体_GBK" w:cs="方正小标宋_GBK"/>
          <w:sz w:val="40"/>
          <w:szCs w:val="40"/>
          <w:lang w:eastAsia="zh-CN"/>
        </w:rPr>
      </w:pPr>
      <w:bookmarkStart w:id="0" w:name="_GoBack"/>
      <w:r>
        <w:rPr>
          <w:rFonts w:hint="eastAsia" w:ascii="方正小标宋_GBK" w:hAnsi="宋体" w:eastAsia="方正小标宋_GBK" w:cs="宋体"/>
          <w:b/>
          <w:color w:val="000000"/>
          <w:kern w:val="0"/>
          <w:sz w:val="40"/>
          <w:szCs w:val="40"/>
        </w:rPr>
        <w:t>征稿活动获奖名单</w:t>
      </w:r>
    </w:p>
    <w:bookmarkEnd w:id="0"/>
    <w:p>
      <w:pPr>
        <w:widowControl/>
        <w:spacing w:line="640" w:lineRule="exact"/>
        <w:jc w:val="left"/>
        <w:rPr>
          <w:rFonts w:hint="eastAsia" w:ascii="方正黑体_GBK" w:hAnsi="方正小标宋_GBK" w:eastAsia="方正黑体_GBK" w:cs="方正小标宋_GBK"/>
          <w:sz w:val="40"/>
          <w:szCs w:val="40"/>
          <w:lang w:eastAsia="zh-CN"/>
        </w:rPr>
      </w:pPr>
    </w:p>
    <w:p>
      <w:pPr>
        <w:adjustRightInd w:val="0"/>
        <w:snapToGrid w:val="0"/>
        <w:spacing w:beforeLines="50" w:afterLines="50" w:line="600" w:lineRule="exact"/>
        <w:jc w:val="center"/>
        <w:rPr>
          <w:rFonts w:ascii="方正黑体_GBK" w:hAnsi="宋体" w:eastAsia="方正黑体_GBK" w:cs="宋体"/>
          <w:bCs/>
          <w:color w:val="000000"/>
          <w:kern w:val="0"/>
          <w:sz w:val="33"/>
          <w:szCs w:val="33"/>
        </w:rPr>
      </w:pPr>
      <w:r>
        <w:rPr>
          <w:rFonts w:hint="eastAsia" w:ascii="方正黑体_GBK" w:hAnsi="宋体" w:eastAsia="方正黑体_GBK" w:cs="宋体"/>
          <w:bCs/>
          <w:color w:val="000000"/>
          <w:kern w:val="0"/>
          <w:sz w:val="33"/>
          <w:szCs w:val="33"/>
          <w:lang w:eastAsia="zh-CN"/>
        </w:rPr>
        <w:t>一、</w:t>
      </w:r>
      <w:r>
        <w:rPr>
          <w:rFonts w:hint="eastAsia" w:ascii="方正黑体_GBK" w:hAnsi="宋体" w:eastAsia="方正黑体_GBK" w:cs="宋体"/>
          <w:bCs/>
          <w:color w:val="000000"/>
          <w:kern w:val="0"/>
          <w:sz w:val="33"/>
          <w:szCs w:val="33"/>
        </w:rPr>
        <w:t>主题征文类</w:t>
      </w:r>
    </w:p>
    <w:tbl>
      <w:tblPr>
        <w:tblStyle w:val="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986"/>
        <w:gridCol w:w="435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580"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奖项</w:t>
            </w:r>
          </w:p>
        </w:tc>
        <w:tc>
          <w:tcPr>
            <w:tcW w:w="1166"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报送单位</w:t>
            </w:r>
          </w:p>
        </w:tc>
        <w:tc>
          <w:tcPr>
            <w:tcW w:w="2556"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作品名称</w:t>
            </w:r>
          </w:p>
        </w:tc>
        <w:tc>
          <w:tcPr>
            <w:tcW w:w="696"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0" w:type="pct"/>
            <w:vMerge w:val="restart"/>
            <w:vAlign w:val="center"/>
          </w:tcPr>
          <w:p>
            <w:pPr>
              <w:widowControl/>
              <w:spacing w:line="30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一等奖</w:t>
            </w: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大足区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《大足黑山羊的“领头羊”》</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黄德利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widowControl/>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重庆理工大学</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《基于“鲶鱼效应”的女性会计人员成才“天花板”的突破》</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何雪锋</w:t>
            </w:r>
          </w:p>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叶余琴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80" w:type="pct"/>
            <w:vMerge w:val="continue"/>
            <w:vAlign w:val="center"/>
          </w:tcPr>
          <w:p>
            <w:pPr>
              <w:widowControl/>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《白衣黄“侠”》</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李进发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80" w:type="pct"/>
            <w:vMerge w:val="continue"/>
            <w:vAlign w:val="center"/>
          </w:tcPr>
          <w:p>
            <w:pPr>
              <w:widowControl/>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黔江区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《重庆市深化人才体制机制改革研究》</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万聪颖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widowControl/>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涪陵区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《新冠肺炎疫情下我国应急管理人才培养反思与创新》</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唐光海</w:t>
            </w:r>
          </w:p>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曾慧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restart"/>
            <w:vAlign w:val="center"/>
          </w:tcPr>
          <w:p>
            <w:pPr>
              <w:widowControl/>
              <w:spacing w:line="30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二等奖</w:t>
            </w: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长江师范学院</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《全面深化职称制度改革 激发教师职业发展活力》</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曹长雷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永川区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《永川推动成渝双城经济圈人才一体化发展打造人才集聚的区域性中心城市》</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80"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beforeLines="9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黔江区</w:t>
            </w:r>
          </w:p>
        </w:tc>
        <w:tc>
          <w:tcPr>
            <w:tcW w:w="2556" w:type="pct"/>
            <w:vAlign w:val="center"/>
          </w:tcPr>
          <w:p>
            <w:pPr>
              <w:widowControl/>
              <w:spacing w:beforeLines="9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《扶贫一线铸党魂  组工干部显担当》</w:t>
            </w:r>
          </w:p>
        </w:tc>
        <w:tc>
          <w:tcPr>
            <w:tcW w:w="696" w:type="pct"/>
            <w:vAlign w:val="center"/>
          </w:tcPr>
          <w:p>
            <w:pPr>
              <w:widowControl/>
              <w:spacing w:beforeLines="9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黄扬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黔江区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《努力做新时代“枫桥经验”的传播者、践行者》</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潘珂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丰都县</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《下好人才“五子棋” 共筑伟大“中国梦”》</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代龙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tcBorders/>
            <w:vAlign w:val="center"/>
          </w:tcPr>
          <w:p>
            <w:pPr>
              <w:widowControl/>
              <w:spacing w:line="300" w:lineRule="exact"/>
              <w:jc w:val="center"/>
              <w:rPr>
                <w:rFonts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《浅谈三线城市人才工作发展战略》</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孔瀛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tcBorders/>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《“疫”斗士唐益东》</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李进发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tcBorders/>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巴南区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《一颗蜜柚的供给侧改革故事》</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姚红艳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tcBorders/>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《大山里的“致富经”》</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夏晓东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tcBorders/>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《初创期社工机构发展与人才培育“双辅”之路》</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restart"/>
            <w:vAlign w:val="center"/>
          </w:tcPr>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三等奖</w:t>
            </w: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p>
          <w:p>
            <w:pPr>
              <w:widowControl/>
              <w:spacing w:line="300" w:lineRule="exact"/>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三等奖</w:t>
            </w: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《逆动：我放弃城市白领回到农村种地》</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陈洪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spacing w:val="-10"/>
                <w:kern w:val="0"/>
                <w:sz w:val="24"/>
              </w:rPr>
            </w:pPr>
            <w:r>
              <w:rPr>
                <w:rFonts w:hint="eastAsia" w:ascii="方正仿宋_GBK" w:hAnsi="宋体" w:eastAsia="方正仿宋_GBK" w:cs="宋体"/>
                <w:color w:val="000000"/>
                <w:spacing w:val="-10"/>
                <w:kern w:val="0"/>
                <w:sz w:val="24"/>
              </w:rPr>
              <w:t>市公安局治安总队</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《20余年如一日逐梦警务信息化 让数据多跑路群众少跑腿》</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陈建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丰都县</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《基层人才交流》</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冉泽炳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荣昌区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《用生命影响生命》</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胡又丹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《梅花香自苦寒来》</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彭堃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开州区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《谢榭：从奶粉销售员到热心公益女企业家》</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许真学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市妇联</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《电商路上的坚韧玫瑰》</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王春霞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渝北区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《绘就精兵强将的“工笔画”》</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雷晶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渝北区</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《牢牢咬住“严、练、管”三字箴言淬炼“高、精、尖”检察队伍》</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戴萍</w:t>
            </w:r>
          </w:p>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秦洪鹰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湖北省宜昌市</w:t>
            </w:r>
          </w:p>
        </w:tc>
        <w:tc>
          <w:tcPr>
            <w:tcW w:w="2556"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《遵循数字经济人才开发规律 完善数字经济人才库工作》</w:t>
            </w:r>
          </w:p>
        </w:tc>
        <w:tc>
          <w:tcPr>
            <w:tcW w:w="696"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葛权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市妇联</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《身怀六甲“益”行最“美”》</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牟方根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《苔花如米小 送教似甘来》</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武隆区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《平凡村医的生命摆渡》</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李陵霜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武隆区</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《浅析小学校长的管理工作》</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程联敏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pct"/>
            <w:vMerge w:val="continue"/>
            <w:vAlign w:val="center"/>
          </w:tcPr>
          <w:p>
            <w:pPr>
              <w:widowControl/>
              <w:spacing w:line="300" w:lineRule="exact"/>
              <w:rPr>
                <w:rFonts w:hint="eastAsia" w:ascii="方正仿宋_GBK" w:hAnsi="宋体" w:eastAsia="方正仿宋_GBK" w:cs="宋体"/>
                <w:color w:val="000000"/>
                <w:kern w:val="0"/>
                <w:sz w:val="24"/>
              </w:rPr>
            </w:pPr>
          </w:p>
        </w:tc>
        <w:tc>
          <w:tcPr>
            <w:tcW w:w="116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丰都县</w:t>
            </w:r>
          </w:p>
        </w:tc>
        <w:tc>
          <w:tcPr>
            <w:tcW w:w="2556"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《双路镇人才工作策略研究》</w:t>
            </w:r>
          </w:p>
        </w:tc>
        <w:tc>
          <w:tcPr>
            <w:tcW w:w="696"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杜文倩</w:t>
            </w:r>
          </w:p>
        </w:tc>
      </w:tr>
    </w:tbl>
    <w:p>
      <w:pPr>
        <w:adjustRightInd w:val="0"/>
        <w:snapToGrid w:val="0"/>
        <w:spacing w:beforeLines="50" w:afterLines="50" w:line="600" w:lineRule="exact"/>
        <w:jc w:val="center"/>
        <w:rPr>
          <w:rFonts w:ascii="方正黑体_GBK" w:hAnsi="宋体" w:eastAsia="方正黑体_GBK" w:cs="宋体"/>
          <w:bCs/>
          <w:color w:val="000000"/>
          <w:kern w:val="0"/>
          <w:sz w:val="33"/>
          <w:szCs w:val="33"/>
        </w:rPr>
      </w:pPr>
      <w:r>
        <w:rPr>
          <w:rFonts w:hint="eastAsia" w:ascii="方正黑体_GBK" w:hAnsi="宋体" w:eastAsia="方正黑体_GBK" w:cs="宋体"/>
          <w:bCs/>
          <w:color w:val="000000"/>
          <w:kern w:val="0"/>
          <w:sz w:val="33"/>
          <w:szCs w:val="33"/>
          <w:lang w:eastAsia="zh-CN"/>
        </w:rPr>
        <w:t>二</w:t>
      </w:r>
      <w:r>
        <w:rPr>
          <w:rFonts w:hint="eastAsia" w:ascii="方正黑体_GBK" w:hAnsi="宋体" w:eastAsia="方正黑体_GBK" w:cs="宋体"/>
          <w:bCs/>
          <w:color w:val="000000"/>
          <w:kern w:val="0"/>
          <w:sz w:val="33"/>
          <w:szCs w:val="33"/>
        </w:rPr>
        <w:t>、新闻摄影类</w:t>
      </w:r>
    </w:p>
    <w:tbl>
      <w:tblPr>
        <w:tblStyle w:val="4"/>
        <w:tblpPr w:leftFromText="180" w:rightFromText="180" w:vertAnchor="text" w:tblpY="2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078"/>
        <w:gridCol w:w="416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552"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奖项</w:t>
            </w:r>
          </w:p>
        </w:tc>
        <w:tc>
          <w:tcPr>
            <w:tcW w:w="1219"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报送单位</w:t>
            </w:r>
          </w:p>
        </w:tc>
        <w:tc>
          <w:tcPr>
            <w:tcW w:w="2444"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作品名称</w:t>
            </w:r>
          </w:p>
        </w:tc>
        <w:tc>
          <w:tcPr>
            <w:tcW w:w="783"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2" w:type="pct"/>
            <w:vMerge w:val="restart"/>
            <w:vAlign w:val="center"/>
          </w:tcPr>
          <w:p>
            <w:pPr>
              <w:widowControl/>
              <w:spacing w:line="30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一等奖</w:t>
            </w:r>
          </w:p>
        </w:tc>
        <w:tc>
          <w:tcPr>
            <w:tcW w:w="1219" w:type="pct"/>
            <w:vAlign w:val="center"/>
          </w:tcPr>
          <w:p>
            <w:pPr>
              <w:widowControl/>
              <w:spacing w:beforeLines="100" w:afterLines="50" w:line="2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444" w:type="pct"/>
            <w:vAlign w:val="center"/>
          </w:tcPr>
          <w:p>
            <w:pPr>
              <w:widowControl/>
              <w:spacing w:beforeLines="100" w:afterLines="50" w:line="20" w:lineRule="exact"/>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《鼓劲》</w:t>
            </w:r>
          </w:p>
        </w:tc>
        <w:tc>
          <w:tcPr>
            <w:tcW w:w="783" w:type="pct"/>
            <w:vAlign w:val="center"/>
          </w:tcPr>
          <w:p>
            <w:pPr>
              <w:widowControl/>
              <w:spacing w:beforeLines="100" w:afterLines="50" w:line="2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何洪泽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2" w:type="pct"/>
            <w:vMerge w:val="continue"/>
            <w:tcBorders/>
            <w:vAlign w:val="center"/>
          </w:tcPr>
          <w:p>
            <w:pPr>
              <w:widowControl/>
              <w:spacing w:line="300" w:lineRule="exact"/>
              <w:jc w:val="center"/>
              <w:rPr>
                <w:rFonts w:hint="eastAsia"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渝北区</w:t>
            </w:r>
          </w:p>
        </w:tc>
        <w:tc>
          <w:tcPr>
            <w:tcW w:w="2444" w:type="pct"/>
            <w:vAlign w:val="center"/>
          </w:tcPr>
          <w:p>
            <w:pPr>
              <w:widowControl/>
              <w:spacing w:beforeLines="100" w:afterLines="50" w:line="20" w:lineRule="exact"/>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《激光在我手上，家国在我心中》</w:t>
            </w:r>
          </w:p>
        </w:tc>
        <w:tc>
          <w:tcPr>
            <w:tcW w:w="783" w:type="pct"/>
            <w:vAlign w:val="center"/>
          </w:tcPr>
          <w:p>
            <w:pPr>
              <w:widowControl/>
              <w:spacing w:beforeLines="100" w:afterLines="50" w:line="2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杜鹃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2" w:type="pct"/>
            <w:vMerge w:val="continue"/>
            <w:tcBorders/>
            <w:vAlign w:val="center"/>
          </w:tcPr>
          <w:p>
            <w:pPr>
              <w:widowControl/>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开州区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《深山百姓健康的“守护神”倪章明》</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张中文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52" w:type="pct"/>
            <w:vMerge w:val="continue"/>
            <w:tcBorders/>
            <w:vAlign w:val="center"/>
          </w:tcPr>
          <w:p>
            <w:pPr>
              <w:widowControl/>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九龙坡区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《永远站在离孩子们最近的地方》</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widowControl/>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重庆市川剧院</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《练》</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庞家麟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vAlign w:val="center"/>
          </w:tcPr>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二等奖</w:t>
            </w: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二等奖</w:t>
            </w: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涪陵区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《农科院助力乡村奔小康》</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王良才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市残联</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《红梅赞歌》</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雷光富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line="260" w:lineRule="exact"/>
              <w:jc w:val="center"/>
              <w:rPr>
                <w:rFonts w:ascii="方正仿宋_GBK" w:hAnsi="宋体" w:eastAsia="方正仿宋_GBK" w:cs="宋体"/>
                <w:color w:val="000000"/>
                <w:spacing w:val="-10"/>
                <w:kern w:val="0"/>
                <w:sz w:val="24"/>
              </w:rPr>
            </w:pPr>
            <w:r>
              <w:rPr>
                <w:rFonts w:hint="eastAsia" w:ascii="方正仿宋_GBK" w:hAnsi="宋体" w:eastAsia="方正仿宋_GBK" w:cs="宋体"/>
                <w:color w:val="000000"/>
                <w:spacing w:val="-10"/>
                <w:kern w:val="0"/>
                <w:sz w:val="24"/>
              </w:rPr>
              <w:t>重庆能投置业公司</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《竞技》</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刘琳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line="260" w:lineRule="exact"/>
              <w:jc w:val="center"/>
              <w:rPr>
                <w:rFonts w:ascii="方正仿宋_GBK" w:hAnsi="宋体" w:eastAsia="方正仿宋_GBK" w:cs="宋体"/>
                <w:color w:val="000000"/>
                <w:spacing w:val="-10"/>
                <w:kern w:val="0"/>
                <w:sz w:val="24"/>
              </w:rPr>
            </w:pPr>
            <w:r>
              <w:rPr>
                <w:rFonts w:hint="eastAsia" w:ascii="方正仿宋_GBK" w:hAnsi="宋体" w:eastAsia="方正仿宋_GBK" w:cs="宋体"/>
                <w:color w:val="000000"/>
                <w:spacing w:val="-10"/>
                <w:kern w:val="0"/>
                <w:sz w:val="24"/>
              </w:rPr>
              <w:t>重庆能投置业公司</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《无影灯下》</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刘琳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《黄霞》</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何洪泽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九龙坡区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《援鄂医疗队员平安返回重庆》</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胡晓帆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渝北区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《精准定位》</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王思杰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《英雄群像》</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52" w:type="pct"/>
            <w:vMerge w:val="continue"/>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《英雄归来》</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vAlign w:val="center"/>
          </w:tcPr>
          <w:p>
            <w:pPr>
              <w:widowControl/>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九龙坡区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《口罩下的微笑》</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周舸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vAlign w:val="center"/>
          </w:tcPr>
          <w:p>
            <w:pPr>
              <w:spacing w:line="30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三等奖</w:t>
            </w: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《蹲下来听民情》</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余旭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市妇联</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《眼睛在说话》</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邓鉴荣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《雏鹰飞翔》</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重庆市律师协会</w:t>
            </w:r>
          </w:p>
        </w:tc>
        <w:tc>
          <w:tcPr>
            <w:tcW w:w="2444"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《“千名青年律师领军人才集中培训计划”正式启动》</w:t>
            </w:r>
          </w:p>
        </w:tc>
        <w:tc>
          <w:tcPr>
            <w:tcW w:w="783"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曾星彰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《逐球少年》</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重庆市川剧院</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《等候上场》</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庞家麟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《山里的希望》</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spacing w:val="-10"/>
                <w:kern w:val="0"/>
                <w:sz w:val="24"/>
              </w:rPr>
              <w:t>重庆能投置业公司</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《传承》</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刘琳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《巾帼抗“疫”勇担当》</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《专注》</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开州区</w:t>
            </w:r>
          </w:p>
        </w:tc>
        <w:tc>
          <w:tcPr>
            <w:tcW w:w="2444" w:type="pct"/>
            <w:vAlign w:val="center"/>
          </w:tcPr>
          <w:p>
            <w:pPr>
              <w:widowControl/>
              <w:spacing w:line="26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rPr>
              <w:t>《“蔬菜大王”任登秀，抱团创业小康路》</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邱绪玲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《非遗传承者》</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重庆市律师协会</w:t>
            </w:r>
          </w:p>
        </w:tc>
        <w:tc>
          <w:tcPr>
            <w:tcW w:w="2444"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《2019年“重庆英才计划”项目赴英国学习交流》</w:t>
            </w:r>
          </w:p>
        </w:tc>
        <w:tc>
          <w:tcPr>
            <w:tcW w:w="783"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曾星彰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渝北区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《新基建》</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王思杰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vAlign w:val="center"/>
          </w:tcPr>
          <w:p>
            <w:pPr>
              <w:widowControl/>
              <w:spacing w:line="300" w:lineRule="exact"/>
              <w:jc w:val="center"/>
              <w:rPr>
                <w:rFonts w:ascii="方正仿宋_GBK" w:hAnsi="宋体" w:eastAsia="方正仿宋_GBK" w:cs="宋体"/>
                <w:color w:val="000000"/>
                <w:kern w:val="0"/>
                <w:sz w:val="24"/>
              </w:rPr>
            </w:pPr>
          </w:p>
        </w:tc>
        <w:tc>
          <w:tcPr>
            <w:tcW w:w="1219"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开州区</w:t>
            </w:r>
          </w:p>
        </w:tc>
        <w:tc>
          <w:tcPr>
            <w:tcW w:w="2444"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《巾帼绣娘胡晓妮》</w:t>
            </w:r>
          </w:p>
        </w:tc>
        <w:tc>
          <w:tcPr>
            <w:tcW w:w="783"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江华</w:t>
            </w:r>
          </w:p>
        </w:tc>
      </w:tr>
    </w:tbl>
    <w:p>
      <w:pPr>
        <w:adjustRightInd w:val="0"/>
        <w:snapToGrid w:val="0"/>
        <w:spacing w:beforeLines="50" w:afterLines="50" w:line="600" w:lineRule="exact"/>
        <w:jc w:val="center"/>
        <w:rPr>
          <w:rFonts w:ascii="方正黑体_GBK" w:hAnsi="宋体" w:eastAsia="方正黑体_GBK" w:cs="宋体"/>
          <w:bCs/>
          <w:color w:val="000000"/>
          <w:kern w:val="0"/>
          <w:sz w:val="33"/>
          <w:szCs w:val="33"/>
        </w:rPr>
      </w:pPr>
      <w:r>
        <w:rPr>
          <w:rFonts w:hint="eastAsia" w:ascii="方正黑体_GBK" w:hAnsi="宋体" w:eastAsia="方正黑体_GBK" w:cs="宋体"/>
          <w:bCs/>
          <w:color w:val="000000"/>
          <w:kern w:val="0"/>
          <w:sz w:val="33"/>
          <w:szCs w:val="33"/>
          <w:lang w:eastAsia="zh-CN"/>
        </w:rPr>
        <w:t>三</w:t>
      </w:r>
      <w:r>
        <w:rPr>
          <w:rFonts w:hint="eastAsia" w:ascii="方正黑体_GBK" w:hAnsi="宋体" w:eastAsia="方正黑体_GBK" w:cs="宋体"/>
          <w:bCs/>
          <w:color w:val="000000"/>
          <w:kern w:val="0"/>
          <w:sz w:val="33"/>
          <w:szCs w:val="33"/>
        </w:rPr>
        <w:t>、短视频类</w:t>
      </w:r>
    </w:p>
    <w:tbl>
      <w:tblPr>
        <w:tblStyle w:val="4"/>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172"/>
        <w:gridCol w:w="398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585"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奖项</w:t>
            </w:r>
          </w:p>
        </w:tc>
        <w:tc>
          <w:tcPr>
            <w:tcW w:w="1252"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报送区域/单位</w:t>
            </w:r>
          </w:p>
        </w:tc>
        <w:tc>
          <w:tcPr>
            <w:tcW w:w="2298"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作品名称</w:t>
            </w:r>
          </w:p>
        </w:tc>
        <w:tc>
          <w:tcPr>
            <w:tcW w:w="864" w:type="pct"/>
            <w:vAlign w:val="center"/>
          </w:tcPr>
          <w:p>
            <w:pPr>
              <w:widowControl/>
              <w:spacing w:beforeLines="100" w:afterLines="50" w:line="2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5" w:type="pct"/>
            <w:vAlign w:val="center"/>
          </w:tcPr>
          <w:p>
            <w:pPr>
              <w:widowControl/>
              <w:spacing w:line="30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一等奖</w:t>
            </w:r>
          </w:p>
        </w:tc>
        <w:tc>
          <w:tcPr>
            <w:tcW w:w="1252"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市专家服务心</w:t>
            </w:r>
          </w:p>
        </w:tc>
        <w:tc>
          <w:tcPr>
            <w:tcW w:w="2298"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《为了必胜的战“疫”》</w:t>
            </w:r>
          </w:p>
        </w:tc>
        <w:tc>
          <w:tcPr>
            <w:tcW w:w="864"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restart"/>
            <w:vAlign w:val="center"/>
          </w:tcPr>
          <w:p>
            <w:pPr>
              <w:widowControl/>
              <w:spacing w:line="30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二等奖</w:t>
            </w:r>
          </w:p>
        </w:tc>
        <w:tc>
          <w:tcPr>
            <w:tcW w:w="1252"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九龙坡区</w:t>
            </w:r>
          </w:p>
        </w:tc>
        <w:tc>
          <w:tcPr>
            <w:tcW w:w="2298"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《援鄂医疗队员平安返回重庆》</w:t>
            </w:r>
          </w:p>
        </w:tc>
        <w:tc>
          <w:tcPr>
            <w:tcW w:w="864"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胡晓帆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85" w:type="pct"/>
            <w:vMerge w:val="continue"/>
            <w:vAlign w:val="center"/>
          </w:tcPr>
          <w:p>
            <w:pPr>
              <w:spacing w:line="300" w:lineRule="exact"/>
              <w:jc w:val="left"/>
              <w:rPr>
                <w:rFonts w:ascii="方正仿宋_GBK" w:hAnsi="宋体" w:eastAsia="方正仿宋_GBK" w:cs="宋体"/>
                <w:color w:val="000000"/>
                <w:kern w:val="0"/>
                <w:sz w:val="24"/>
              </w:rPr>
            </w:pPr>
          </w:p>
        </w:tc>
        <w:tc>
          <w:tcPr>
            <w:tcW w:w="1252"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荣昌区</w:t>
            </w:r>
          </w:p>
        </w:tc>
        <w:tc>
          <w:tcPr>
            <w:tcW w:w="2298"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《从检33年初心不改》</w:t>
            </w:r>
          </w:p>
        </w:tc>
        <w:tc>
          <w:tcPr>
            <w:tcW w:w="864"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荣昌区</w:t>
            </w:r>
          </w:p>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85" w:type="pct"/>
            <w:vMerge w:val="continue"/>
            <w:vAlign w:val="center"/>
          </w:tcPr>
          <w:p>
            <w:pPr>
              <w:widowControl/>
              <w:spacing w:line="300" w:lineRule="exact"/>
              <w:jc w:val="left"/>
              <w:rPr>
                <w:rFonts w:ascii="方正仿宋_GBK" w:hAnsi="宋体" w:eastAsia="方正仿宋_GBK" w:cs="宋体"/>
                <w:color w:val="000000"/>
                <w:kern w:val="0"/>
                <w:sz w:val="24"/>
              </w:rPr>
            </w:pPr>
          </w:p>
        </w:tc>
        <w:tc>
          <w:tcPr>
            <w:tcW w:w="1252"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市公安局治安总队</w:t>
            </w:r>
          </w:p>
        </w:tc>
        <w:tc>
          <w:tcPr>
            <w:tcW w:w="2298" w:type="pct"/>
            <w:vAlign w:val="center"/>
          </w:tcPr>
          <w:p>
            <w:pPr>
              <w:widowControl/>
              <w:spacing w:line="2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《拆弹专家》</w:t>
            </w:r>
          </w:p>
        </w:tc>
        <w:tc>
          <w:tcPr>
            <w:tcW w:w="864"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汪小平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restart"/>
            <w:vAlign w:val="center"/>
          </w:tcPr>
          <w:p>
            <w:pPr>
              <w:widowControl/>
              <w:spacing w:line="3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三等奖</w:t>
            </w: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rPr>
            </w:pPr>
          </w:p>
          <w:p>
            <w:pPr>
              <w:widowControl/>
              <w:spacing w:line="300" w:lineRule="exact"/>
              <w:jc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三等奖</w:t>
            </w:r>
          </w:p>
        </w:tc>
        <w:tc>
          <w:tcPr>
            <w:tcW w:w="1252"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市妇联</w:t>
            </w:r>
          </w:p>
        </w:tc>
        <w:tc>
          <w:tcPr>
            <w:tcW w:w="2298"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《巴渝巧姐廖维莉》</w:t>
            </w:r>
          </w:p>
        </w:tc>
        <w:tc>
          <w:tcPr>
            <w:tcW w:w="864"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vAlign w:val="center"/>
          </w:tcPr>
          <w:p>
            <w:pPr>
              <w:spacing w:line="360" w:lineRule="auto"/>
              <w:jc w:val="center"/>
              <w:rPr>
                <w:rFonts w:ascii="方正仿宋_GBK" w:hAnsi="宋体" w:eastAsia="方正仿宋_GBK" w:cs="宋体"/>
                <w:color w:val="000000"/>
                <w:kern w:val="0"/>
                <w:sz w:val="24"/>
              </w:rPr>
            </w:pPr>
          </w:p>
        </w:tc>
        <w:tc>
          <w:tcPr>
            <w:tcW w:w="1252"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大足区</w:t>
            </w:r>
          </w:p>
        </w:tc>
        <w:tc>
          <w:tcPr>
            <w:tcW w:w="2298"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《与荷同行陶德均》</w:t>
            </w:r>
          </w:p>
        </w:tc>
        <w:tc>
          <w:tcPr>
            <w:tcW w:w="864"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黎亚平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vAlign w:val="center"/>
          </w:tcPr>
          <w:p>
            <w:pPr>
              <w:spacing w:line="360" w:lineRule="auto"/>
              <w:jc w:val="center"/>
              <w:rPr>
                <w:rFonts w:ascii="方正仿宋_GBK" w:hAnsi="宋体" w:eastAsia="方正仿宋_GBK" w:cs="宋体"/>
                <w:color w:val="000000"/>
                <w:kern w:val="0"/>
                <w:sz w:val="24"/>
              </w:rPr>
            </w:pPr>
          </w:p>
        </w:tc>
        <w:tc>
          <w:tcPr>
            <w:tcW w:w="1252"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梁平区</w:t>
            </w:r>
          </w:p>
        </w:tc>
        <w:tc>
          <w:tcPr>
            <w:tcW w:w="2298"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《承心 守艺》</w:t>
            </w:r>
          </w:p>
        </w:tc>
        <w:tc>
          <w:tcPr>
            <w:tcW w:w="864"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张琪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85" w:type="pct"/>
            <w:vMerge w:val="continue"/>
            <w:vAlign w:val="center"/>
          </w:tcPr>
          <w:p>
            <w:pPr>
              <w:spacing w:line="360" w:lineRule="auto"/>
              <w:jc w:val="center"/>
              <w:rPr>
                <w:rFonts w:ascii="方正仿宋_GBK" w:hAnsi="宋体" w:eastAsia="方正仿宋_GBK" w:cs="宋体"/>
                <w:color w:val="000000"/>
                <w:kern w:val="0"/>
                <w:sz w:val="24"/>
              </w:rPr>
            </w:pPr>
          </w:p>
        </w:tc>
        <w:tc>
          <w:tcPr>
            <w:tcW w:w="1252"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w:t>
            </w:r>
          </w:p>
        </w:tc>
        <w:tc>
          <w:tcPr>
            <w:tcW w:w="2298" w:type="pct"/>
            <w:vAlign w:val="center"/>
          </w:tcPr>
          <w:p>
            <w:pPr>
              <w:widowControl/>
              <w:spacing w:beforeLines="100" w:afterLines="50" w:line="2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《最美是你》</w:t>
            </w:r>
          </w:p>
        </w:tc>
        <w:tc>
          <w:tcPr>
            <w:tcW w:w="864" w:type="pct"/>
            <w:vAlign w:val="center"/>
          </w:tcPr>
          <w:p>
            <w:pPr>
              <w:widowControl/>
              <w:spacing w:beforeLines="100" w:afterLines="50" w:line="2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何洪泽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vAlign w:val="center"/>
          </w:tcPr>
          <w:p>
            <w:pPr>
              <w:widowControl/>
              <w:spacing w:line="360" w:lineRule="auto"/>
              <w:jc w:val="center"/>
              <w:rPr>
                <w:rFonts w:ascii="方正仿宋_GBK" w:hAnsi="宋体" w:eastAsia="方正仿宋_GBK" w:cs="宋体"/>
                <w:color w:val="000000"/>
                <w:kern w:val="0"/>
                <w:sz w:val="24"/>
              </w:rPr>
            </w:pPr>
          </w:p>
        </w:tc>
        <w:tc>
          <w:tcPr>
            <w:tcW w:w="1252"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荣昌区</w:t>
            </w:r>
          </w:p>
        </w:tc>
        <w:tc>
          <w:tcPr>
            <w:tcW w:w="2298" w:type="pct"/>
            <w:vAlign w:val="center"/>
          </w:tcPr>
          <w:p>
            <w:pPr>
              <w:widowControl/>
              <w:spacing w:line="260" w:lineRule="exact"/>
              <w:jc w:val="left"/>
              <w:rPr>
                <w:rFonts w:ascii="方正仿宋_GBK" w:hAnsi="宋体" w:eastAsia="方正仿宋_GBK" w:cs="宋体"/>
                <w:color w:val="000000"/>
                <w:kern w:val="0"/>
                <w:sz w:val="24"/>
              </w:rPr>
            </w:pPr>
            <w:r>
              <w:fldChar w:fldCharType="begin"/>
            </w:r>
            <w:r>
              <w:instrText xml:space="preserve"> HYPERLINK "mailto:1475698516@qq.com" </w:instrText>
            </w:r>
            <w:r>
              <w:fldChar w:fldCharType="separate"/>
            </w:r>
            <w:r>
              <w:rPr>
                <w:rFonts w:hint="eastAsia" w:ascii="方正仿宋_GBK" w:hAnsi="宋体" w:eastAsia="方正仿宋_GBK" w:cs="宋体"/>
                <w:color w:val="000000"/>
                <w:kern w:val="0"/>
                <w:sz w:val="24"/>
              </w:rPr>
              <w:t>《把蓝天绿水青山留给子孙后代》</w:t>
            </w:r>
            <w:r>
              <w:rPr>
                <w:rFonts w:hint="eastAsia" w:ascii="方正仿宋_GBK" w:hAnsi="宋体" w:eastAsia="方正仿宋_GBK" w:cs="宋体"/>
                <w:color w:val="000000"/>
                <w:kern w:val="0"/>
                <w:sz w:val="24"/>
              </w:rPr>
              <w:fldChar w:fldCharType="end"/>
            </w:r>
          </w:p>
        </w:tc>
        <w:tc>
          <w:tcPr>
            <w:tcW w:w="864" w:type="pct"/>
            <w:vAlign w:val="center"/>
          </w:tcPr>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荣昌区</w:t>
            </w:r>
          </w:p>
          <w:p>
            <w:pPr>
              <w:widowControl/>
              <w:spacing w:line="260" w:lineRule="exact"/>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人民检察院</w:t>
            </w:r>
          </w:p>
        </w:tc>
      </w:tr>
    </w:tbl>
    <w:p>
      <w:pPr>
        <w:spacing w:line="300" w:lineRule="exact"/>
      </w:pPr>
    </w:p>
    <w:p>
      <w:pPr>
        <w:rPr>
          <w:rFonts w:hint="eastAsia"/>
          <w:lang w:eastAsia="zh-CN"/>
        </w:rPr>
      </w:pPr>
    </w:p>
    <w:p>
      <w:pPr>
        <w:adjustRightInd w:val="0"/>
        <w:snapToGrid w:val="0"/>
        <w:spacing w:beforeLines="50" w:afterLines="50" w:line="600" w:lineRule="exact"/>
        <w:jc w:val="center"/>
      </w:pPr>
      <w:r>
        <w:rPr>
          <w:rFonts w:hint="eastAsia" w:ascii="方正黑体_GBK" w:hAnsi="宋体" w:eastAsia="方正黑体_GBK" w:cs="宋体"/>
          <w:bCs/>
          <w:color w:val="000000"/>
          <w:kern w:val="0"/>
          <w:sz w:val="33"/>
          <w:szCs w:val="33"/>
          <w:lang w:eastAsia="zh-CN"/>
        </w:rPr>
        <w:t>四、优秀组织奖</w:t>
      </w:r>
    </w:p>
    <w:tbl>
      <w:tblPr>
        <w:tblStyle w:val="4"/>
        <w:tblW w:w="2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序号</w:t>
            </w:r>
          </w:p>
        </w:tc>
        <w:tc>
          <w:tcPr>
            <w:tcW w:w="4240"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获奖单位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59"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1</w:t>
            </w:r>
          </w:p>
        </w:tc>
        <w:tc>
          <w:tcPr>
            <w:tcW w:w="4240" w:type="pct"/>
            <w:vAlign w:val="center"/>
          </w:tcPr>
          <w:p>
            <w:pPr>
              <w:widowControl/>
              <w:spacing w:line="26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长寿区委组织部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59"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2</w:t>
            </w:r>
          </w:p>
        </w:tc>
        <w:tc>
          <w:tcPr>
            <w:tcW w:w="4240" w:type="pct"/>
            <w:vAlign w:val="center"/>
          </w:tcPr>
          <w:p>
            <w:pPr>
              <w:widowControl/>
              <w:spacing w:line="26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万州区委组织部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9"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3</w:t>
            </w:r>
          </w:p>
        </w:tc>
        <w:tc>
          <w:tcPr>
            <w:tcW w:w="4240" w:type="pct"/>
            <w:vAlign w:val="center"/>
          </w:tcPr>
          <w:p>
            <w:pPr>
              <w:widowControl/>
              <w:spacing w:line="26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渝北区委组织部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9"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4</w:t>
            </w:r>
          </w:p>
        </w:tc>
        <w:tc>
          <w:tcPr>
            <w:tcW w:w="4240" w:type="pct"/>
            <w:vAlign w:val="center"/>
          </w:tcPr>
          <w:p>
            <w:pPr>
              <w:widowControl/>
              <w:spacing w:line="26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九龙坡区委组织部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9" w:type="pct"/>
            <w:vAlign w:val="center"/>
          </w:tcPr>
          <w:p>
            <w:pPr>
              <w:widowControl/>
              <w:spacing w:beforeLines="100" w:afterLines="50" w:line="20" w:lineRule="exact"/>
              <w:jc w:val="center"/>
              <w:rPr>
                <w:rFonts w:hint="eastAsia" w:ascii="方正黑体_GBK" w:hAnsi="宋体" w:eastAsia="方正黑体_GBK" w:cs="宋体"/>
                <w:color w:val="000000"/>
                <w:kern w:val="0"/>
                <w:sz w:val="24"/>
              </w:rPr>
            </w:pPr>
            <w:r>
              <w:rPr>
                <w:rFonts w:hint="eastAsia" w:ascii="方正黑体_GBK" w:hAnsi="宋体" w:eastAsia="方正黑体_GBK" w:cs="宋体"/>
                <w:color w:val="000000"/>
                <w:kern w:val="0"/>
                <w:sz w:val="24"/>
              </w:rPr>
              <w:t>5</w:t>
            </w:r>
          </w:p>
        </w:tc>
        <w:tc>
          <w:tcPr>
            <w:tcW w:w="4240" w:type="pct"/>
            <w:vAlign w:val="center"/>
          </w:tcPr>
          <w:p>
            <w:pPr>
              <w:widowControl/>
              <w:spacing w:line="26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市妇联</w:t>
            </w:r>
          </w:p>
        </w:tc>
      </w:tr>
    </w:tbl>
    <w:p>
      <w:pPr>
        <w:spacing w:line="620" w:lineRule="exact"/>
        <w:jc w:val="center"/>
        <w:rPr>
          <w:rFonts w:eastAsia="方正仿宋_GBK"/>
          <w:sz w:val="40"/>
          <w:szCs w:val="40"/>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A5958"/>
    <w:rsid w:val="5A0A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2021-01-08T12:06:00Z</dcterms:created>
  <dc:creator>F。</dc:creator>
  <cp:lastModifiedBy>F。</cp:lastModifiedBy>
  <dcterms:modified xsi:type="dcterms:W3CDTF">2021-01-08T12:14:32Z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